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4978" w14:textId="66F0316E" w:rsidR="00CB2975" w:rsidRPr="00E1060F" w:rsidRDefault="00CB2975" w:rsidP="00903C05">
      <w:pPr>
        <w:tabs>
          <w:tab w:val="left" w:pos="6912"/>
        </w:tabs>
        <w:rPr>
          <w:rStyle w:val="fontstyle01"/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</w:pPr>
      <w:r w:rsidRPr="00E1060F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545A5" wp14:editId="3C5256DB">
                <wp:simplePos x="0" y="0"/>
                <wp:positionH relativeFrom="margin">
                  <wp:posOffset>361588</wp:posOffset>
                </wp:positionH>
                <wp:positionV relativeFrom="paragraph">
                  <wp:posOffset>-454504</wp:posOffset>
                </wp:positionV>
                <wp:extent cx="4936638" cy="959278"/>
                <wp:effectExtent l="38100" t="38100" r="92710" b="889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6638" cy="959278"/>
                        </a:xfrm>
                        <a:prstGeom prst="rect">
                          <a:avLst/>
                        </a:prstGeom>
                        <a:solidFill>
                          <a:srgbClr val="FEEFDA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87EEF" w14:textId="596F1D84" w:rsidR="00CB2975" w:rsidRPr="0039177B" w:rsidRDefault="00E1060F" w:rsidP="0039177B">
                            <w:pPr>
                              <w:tabs>
                                <w:tab w:val="left" w:pos="6912"/>
                              </w:tabs>
                              <w:jc w:val="center"/>
                              <w:rPr>
                                <w:rStyle w:val="fontstyle01"/>
                                <w:rFonts w:ascii="Open Sans" w:hAnsi="Open Sans" w:cs="Open Sans"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39177B">
                              <w:rPr>
                                <w:rStyle w:val="fontstyle01"/>
                                <w:rFonts w:ascii="Open Sans" w:hAnsi="Open Sans" w:cs="Open Sans"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39177B" w:rsidRPr="0039177B">
                              <w:rPr>
                                <w:rStyle w:val="fontstyle01"/>
                                <w:rFonts w:ascii="Open Sans" w:hAnsi="Open Sans" w:cs="Open Sans"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PGD</w:t>
                            </w:r>
                            <w:r w:rsidRPr="0039177B">
                              <w:rPr>
                                <w:rStyle w:val="fontstyle01"/>
                                <w:rFonts w:ascii="Open Sans" w:hAnsi="Open Sans" w:cs="Open Sans"/>
                                <w:i/>
                                <w:i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se incluye como parte obligatoria de la formulación en la sección metodológica. En el sistema se verá una breve explicación y preguntas guía a ser contestadas en una casilla de texto única con espacio para 1500 palabras</w:t>
                            </w:r>
                          </w:p>
                          <w:p w14:paraId="0DDFBA9F" w14:textId="77777777" w:rsidR="00CB2975" w:rsidRDefault="00CB2975" w:rsidP="00CB29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545A5" id="Rectángulo 1" o:spid="_x0000_s1026" style="position:absolute;margin-left:28.45pt;margin-top:-35.8pt;width:388.7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" fillcolor="#feefda" stroked="f" strokeweight="1pt">
                <v:shadow on="t" color="black" opacity="26214f" origin="-.5,-.5" offset=".74836mm,.74836mm"/>
                <v:textbox>
                  <w:txbxContent>
                    <w:p w14:paraId="3B687EEF" w14:textId="596F1D84" w:rsidR="00CB2975" w:rsidRPr="0039177B" w:rsidRDefault="00E1060F" w:rsidP="0039177B">
                      <w:pPr>
                        <w:tabs>
                          <w:tab w:val="left" w:pos="6912"/>
                        </w:tabs>
                        <w:jc w:val="center"/>
                        <w:rPr>
                          <w:rStyle w:val="fontstyle01"/>
                          <w:rFonts w:ascii="Open Sans" w:hAnsi="Open Sans" w:cs="Open Sans"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39177B">
                        <w:rPr>
                          <w:rStyle w:val="fontstyle01"/>
                          <w:rFonts w:ascii="Open Sans" w:hAnsi="Open Sans" w:cs="Open Sans"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 xml:space="preserve">En </w:t>
                      </w:r>
                      <w:r w:rsidR="0039177B" w:rsidRPr="0039177B">
                        <w:rPr>
                          <w:rStyle w:val="fontstyle01"/>
                          <w:rFonts w:ascii="Open Sans" w:hAnsi="Open Sans" w:cs="Open Sans"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>PGD</w:t>
                      </w:r>
                      <w:r w:rsidRPr="0039177B">
                        <w:rPr>
                          <w:rStyle w:val="fontstyle01"/>
                          <w:rFonts w:ascii="Open Sans" w:hAnsi="Open Sans" w:cs="Open Sans"/>
                          <w:i/>
                          <w:iCs/>
                          <w:color w:val="833C0B" w:themeColor="accent2" w:themeShade="80"/>
                          <w:sz w:val="24"/>
                          <w:szCs w:val="24"/>
                        </w:rPr>
                        <w:t xml:space="preserve"> se incluye como parte obligatoria de la formulación en la sección metodológica. En el sistema se verá una breve explicación y preguntas guía a ser contestadas en una casilla de texto única con espacio para 1500 palabras</w:t>
                      </w:r>
                    </w:p>
                    <w:p w14:paraId="0DDFBA9F" w14:textId="77777777" w:rsidR="00CB2975" w:rsidRDefault="00CB2975" w:rsidP="00CB297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3605BE" w14:textId="77777777" w:rsidR="0039177B" w:rsidRDefault="0039177B" w:rsidP="00903C05">
      <w:pPr>
        <w:tabs>
          <w:tab w:val="left" w:pos="6912"/>
        </w:tabs>
        <w:rPr>
          <w:rStyle w:val="fontstyle0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6C241F32" w14:textId="77777777" w:rsidR="0039177B" w:rsidRPr="0039177B" w:rsidRDefault="0039177B" w:rsidP="00903C05">
      <w:pPr>
        <w:tabs>
          <w:tab w:val="left" w:pos="6912"/>
        </w:tabs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</w:p>
    <w:p w14:paraId="15DE8855" w14:textId="5087285C" w:rsidR="00903C05" w:rsidRPr="0039177B" w:rsidRDefault="00903C05" w:rsidP="0039177B">
      <w:pPr>
        <w:tabs>
          <w:tab w:val="left" w:pos="6912"/>
        </w:tabs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El Plan de Gestión de Datos </w:t>
      </w:r>
      <w:r w:rsidR="00351D90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(PGD) 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es un instrumento </w:t>
      </w:r>
      <w:r w:rsidR="00490AF7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flexible 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que facilita la planificación de los aspectos relacionados al manejo de los datos durante y después de las investigaciones. Incluye las dimensiones de recolección, utilización, generación, documentación, resguardo, almacenamiento y accesibilidad de los datos. </w:t>
      </w:r>
      <w:r w:rsidR="005035A6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En la medida de lo posible, c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ada punto debe ser desarrollado con precisión. </w:t>
      </w:r>
      <w:r w:rsidR="003F3EE9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Para apoyar su elaboración 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se presentan </w:t>
      </w:r>
      <w:r w:rsidR="0052341E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preguntas guía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,</w:t>
      </w:r>
      <w:r w:rsidR="00CF743F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que no son las únicas posibles y no representan una obligación de respuesta.</w:t>
      </w:r>
      <w:r w:rsidR="00E2109E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Además, </w:t>
      </w:r>
      <w:r w:rsidR="00014333"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puede cambiarse a la luz de la ejecución.</w:t>
      </w:r>
    </w:p>
    <w:p w14:paraId="29047424" w14:textId="2140D90C" w:rsidR="00903C05" w:rsidRDefault="00903C05" w:rsidP="0039177B">
      <w:pPr>
        <w:tabs>
          <w:tab w:val="left" w:pos="6912"/>
        </w:tabs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Para subirlo al repositorio de datos institucional (</w:t>
      </w:r>
      <w:proofErr w:type="spellStart"/>
      <w:r w:rsidRPr="00FE3CF0">
        <w:rPr>
          <w:rStyle w:val="fontstyle01"/>
          <w:rFonts w:ascii="Open Sans" w:hAnsi="Open Sans" w:cs="Open Sans"/>
          <w:color w:val="833C0B" w:themeColor="accent2" w:themeShade="80"/>
          <w:sz w:val="22"/>
          <w:szCs w:val="22"/>
        </w:rPr>
        <w:t>DataVerse</w:t>
      </w:r>
      <w:proofErr w:type="spellEnd"/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) debe de transformarse en un pdf</w:t>
      </w:r>
      <w:r w:rsid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.</w:t>
      </w:r>
    </w:p>
    <w:p w14:paraId="2AE84DBC" w14:textId="79FC95AF" w:rsidR="00903C05" w:rsidRPr="0039177B" w:rsidRDefault="00903C05" w:rsidP="0039177B">
      <w:pPr>
        <w:pStyle w:val="Prrafodelista"/>
        <w:numPr>
          <w:ilvl w:val="0"/>
          <w:numId w:val="2"/>
        </w:numPr>
        <w:tabs>
          <w:tab w:val="left" w:pos="6912"/>
        </w:tabs>
        <w:ind w:left="284" w:hanging="284"/>
        <w:jc w:val="both"/>
        <w:rPr>
          <w:rStyle w:val="fontstyle01"/>
          <w:rFonts w:ascii="Open Sans" w:hAnsi="Open Sans"/>
          <w:color w:val="C45911" w:themeColor="accent2" w:themeShade="BF"/>
          <w:sz w:val="24"/>
          <w:szCs w:val="24"/>
        </w:rPr>
      </w:pP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Documentación y metadatos</w:t>
      </w:r>
    </w:p>
    <w:p w14:paraId="16AC87FE" w14:textId="77777777" w:rsidR="00FE3CF0" w:rsidRDefault="00E70019" w:rsidP="00FE3CF0">
      <w:pPr>
        <w:jc w:val="both"/>
        <w:rPr>
          <w:rStyle w:val="fontstyle21"/>
          <w:rFonts w:ascii="Open Sans" w:hAnsi="Open Sans" w:cs="Open Sans"/>
          <w:color w:val="auto"/>
          <w:sz w:val="22"/>
          <w:szCs w:val="22"/>
        </w:rPr>
      </w:pPr>
      <w:r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 xml:space="preserve">¿Qué </w:t>
      </w:r>
      <w:r w:rsidR="00D80994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 xml:space="preserve">estándares y metodologías usará para la recolección, aseguramiento de la calidad y creación de los datos? </w:t>
      </w:r>
      <w:r w:rsidR="009555D1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 xml:space="preserve">Refiérase de </w:t>
      </w:r>
      <w:r w:rsidR="00D80994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forma separada según la ges</w:t>
      </w:r>
      <w:r w:rsidR="0087667E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tión prevista de las ver</w:t>
      </w:r>
      <w:r w:rsidR="007070B5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s</w:t>
      </w:r>
      <w:r w:rsidR="0087667E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iones</w:t>
      </w:r>
      <w:r w:rsidR="001C1947"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. Utilice la siguiente lista: datos agregados, ensayo clínico, datos compilados, datos codificados, datos experimentales, datos genómicos, datos geoespaciales, cuaderno de laboratorio (cuaderno electrónico de laboratorio), datos de medición y prueba, datos observacionales, datos registrados (datos grabados), datos de simulación, datos de encuesta</w:t>
      </w:r>
    </w:p>
    <w:p w14:paraId="4FC0A9EB" w14:textId="20B1B466" w:rsidR="00903C05" w:rsidRPr="00FE3CF0" w:rsidRDefault="00FE3CF0" w:rsidP="00FE3CF0">
      <w:pPr>
        <w:jc w:val="both"/>
        <w:rPr>
          <w:rStyle w:val="fontstyle21"/>
          <w:rFonts w:ascii="Open Sans" w:hAnsi="Open Sans" w:cs="Open Sans"/>
          <w:color w:val="auto"/>
          <w:sz w:val="22"/>
          <w:szCs w:val="22"/>
        </w:rPr>
      </w:pPr>
      <w:r w:rsidRPr="00FE3CF0">
        <w:rPr>
          <w:rStyle w:val="fontstyle01"/>
          <w:rFonts w:ascii="Open Sans" w:hAnsi="Open Sans"/>
          <w:color w:val="C45911" w:themeColor="accent2" w:themeShade="BF"/>
          <w:sz w:val="24"/>
          <w:szCs w:val="24"/>
        </w:rPr>
        <w:t>2.</w:t>
      </w:r>
      <w:r>
        <w:rPr>
          <w:rStyle w:val="fontstyle21"/>
          <w:rFonts w:ascii="Open Sans" w:hAnsi="Open Sans" w:cs="Open Sans"/>
          <w:color w:val="auto"/>
          <w:sz w:val="22"/>
          <w:szCs w:val="22"/>
        </w:rPr>
        <w:t xml:space="preserve"> </w:t>
      </w:r>
      <w:r w:rsidR="00903C05" w:rsidRPr="00FE3CF0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Cumplimientos éticos y legales</w:t>
      </w:r>
      <w:r w:rsidR="00903C05" w:rsidRPr="00FE3CF0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ab/>
      </w:r>
      <w:r w:rsidR="00903C05" w:rsidRPr="00FE3CF0">
        <w:rPr>
          <w:rFonts w:ascii="Open Sans" w:hAnsi="Open Sans" w:cs="Open Sans"/>
        </w:rPr>
        <w:tab/>
      </w:r>
    </w:p>
    <w:p w14:paraId="2D4380ED" w14:textId="77777777" w:rsidR="00903C05" w:rsidRPr="0039177B" w:rsidRDefault="00903C05" w:rsidP="001E4503">
      <w:pPr>
        <w:jc w:val="both"/>
        <w:rPr>
          <w:rStyle w:val="fontstyle21"/>
          <w:rFonts w:ascii="Open Sans" w:hAnsi="Open Sans" w:cs="Open Sans"/>
          <w:color w:val="auto"/>
          <w:sz w:val="22"/>
          <w:szCs w:val="22"/>
        </w:rPr>
      </w:pPr>
      <w:r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¿Cómo ha previsto identificar y tratar los aspectos éticos y legales, incluyen el reconocimiento a la autoría de saberes y conocimientos no académicos?</w:t>
      </w:r>
    </w:p>
    <w:p w14:paraId="07B161A4" w14:textId="6B939F3E" w:rsidR="00903C05" w:rsidRPr="00FE3CF0" w:rsidRDefault="00903C05" w:rsidP="00FE3CF0">
      <w:pPr>
        <w:pStyle w:val="Prrafodelista"/>
        <w:numPr>
          <w:ilvl w:val="0"/>
          <w:numId w:val="3"/>
        </w:numPr>
        <w:tabs>
          <w:tab w:val="left" w:pos="6912"/>
        </w:tabs>
        <w:ind w:left="284" w:hanging="284"/>
        <w:jc w:val="both"/>
        <w:rPr>
          <w:rFonts w:ascii="Open Sans" w:hAnsi="Open Sans" w:cs="Open Sans"/>
        </w:rPr>
      </w:pPr>
      <w:r w:rsidRPr="00FE3CF0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Almacenamiento, respaldo, seguridad y acceso personal</w:t>
      </w:r>
      <w:r w:rsidRPr="00FE3CF0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ab/>
      </w:r>
      <w:r w:rsidRPr="00FE3CF0">
        <w:rPr>
          <w:rFonts w:ascii="Open Sans" w:hAnsi="Open Sans" w:cs="Open Sans"/>
        </w:rPr>
        <w:tab/>
      </w:r>
    </w:p>
    <w:p w14:paraId="5E8FD88C" w14:textId="77777777" w:rsidR="00903C05" w:rsidRPr="0039177B" w:rsidRDefault="00903C05" w:rsidP="001E4503">
      <w:pPr>
        <w:jc w:val="both"/>
        <w:rPr>
          <w:rStyle w:val="fontstyle21"/>
          <w:rFonts w:ascii="Open Sans" w:hAnsi="Open Sans" w:cs="Open Sans"/>
          <w:color w:val="auto"/>
          <w:sz w:val="22"/>
          <w:szCs w:val="22"/>
        </w:rPr>
      </w:pPr>
      <w:r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>¿Cómo se respaldarán los datos y quién será el responsable?</w:t>
      </w:r>
      <w:r w:rsidRPr="0039177B">
        <w:rPr>
          <w:rStyle w:val="fontstyle21"/>
          <w:rFonts w:ascii="Open Sans" w:hAnsi="Open Sans" w:cs="Open Sans"/>
          <w:color w:val="auto"/>
          <w:sz w:val="22"/>
          <w:szCs w:val="22"/>
        </w:rPr>
        <w:tab/>
      </w:r>
    </w:p>
    <w:p w14:paraId="074A4E51" w14:textId="77777777" w:rsidR="00903C05" w:rsidRPr="0039177B" w:rsidRDefault="00903C05" w:rsidP="00FE3CF0">
      <w:pPr>
        <w:pStyle w:val="Prrafodelista"/>
        <w:numPr>
          <w:ilvl w:val="0"/>
          <w:numId w:val="3"/>
        </w:numPr>
        <w:tabs>
          <w:tab w:val="left" w:pos="6912"/>
        </w:tabs>
        <w:ind w:left="284" w:hanging="284"/>
        <w:jc w:val="both"/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</w:pP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Acceso y seguridad</w:t>
      </w: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ab/>
      </w:r>
    </w:p>
    <w:p w14:paraId="10B521D8" w14:textId="53DAADCC" w:rsidR="00903C05" w:rsidRPr="0039177B" w:rsidRDefault="00903C05" w:rsidP="001E4503">
      <w:pPr>
        <w:jc w:val="both"/>
        <w:rPr>
          <w:rFonts w:ascii="Open Sans" w:hAnsi="Open Sans" w:cs="Open Sans"/>
        </w:rPr>
      </w:pPr>
      <w:r w:rsidRPr="0039177B">
        <w:rPr>
          <w:rFonts w:ascii="Open Sans" w:hAnsi="Open Sans" w:cs="Open Sans"/>
        </w:rPr>
        <w:t>¿Cuáles son los riesgos relacionados con la seguridad y la sensibilidad de los datos y cómo se manejarán esos riesgos?</w:t>
      </w:r>
      <w:r w:rsidRPr="0039177B">
        <w:rPr>
          <w:rFonts w:ascii="Open Sans" w:hAnsi="Open Sans" w:cs="Open Sans"/>
        </w:rPr>
        <w:tab/>
      </w:r>
    </w:p>
    <w:p w14:paraId="20D85507" w14:textId="77777777" w:rsidR="00903C05" w:rsidRPr="0039177B" w:rsidRDefault="00903C05" w:rsidP="001E4503">
      <w:pPr>
        <w:jc w:val="both"/>
        <w:rPr>
          <w:rFonts w:ascii="Open Sans" w:hAnsi="Open Sans" w:cs="Open Sans"/>
        </w:rPr>
      </w:pPr>
      <w:r w:rsidRPr="0039177B">
        <w:rPr>
          <w:rFonts w:ascii="Open Sans" w:hAnsi="Open Sans" w:cs="Open Sans"/>
        </w:rPr>
        <w:lastRenderedPageBreak/>
        <w:t>¿Cómo y quién controlará y compartirá el acceso a los datos para mantener su seguridad?</w:t>
      </w:r>
      <w:r w:rsidRPr="0039177B">
        <w:rPr>
          <w:rFonts w:ascii="Open Sans" w:hAnsi="Open Sans" w:cs="Open Sans"/>
        </w:rPr>
        <w:tab/>
      </w:r>
    </w:p>
    <w:p w14:paraId="69EDB786" w14:textId="77777777" w:rsidR="00903C05" w:rsidRPr="0039177B" w:rsidRDefault="00903C05" w:rsidP="00FE3CF0">
      <w:pPr>
        <w:pStyle w:val="Prrafodelista"/>
        <w:numPr>
          <w:ilvl w:val="0"/>
          <w:numId w:val="3"/>
        </w:numPr>
        <w:tabs>
          <w:tab w:val="left" w:pos="6912"/>
        </w:tabs>
        <w:ind w:left="284" w:hanging="284"/>
        <w:jc w:val="both"/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</w:pP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Selección de datos para su reutilización y preservación</w:t>
      </w: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ab/>
      </w:r>
    </w:p>
    <w:p w14:paraId="10166EE0" w14:textId="72ADAA1A" w:rsidR="00903C05" w:rsidRPr="0039177B" w:rsidRDefault="00903C05" w:rsidP="00903C05">
      <w:pPr>
        <w:rPr>
          <w:rFonts w:ascii="Open Sans" w:hAnsi="Open Sans" w:cs="Open Sans"/>
        </w:rPr>
      </w:pPr>
      <w:r w:rsidRPr="0039177B">
        <w:rPr>
          <w:rFonts w:ascii="Open Sans" w:hAnsi="Open Sans" w:cs="Open Sans"/>
        </w:rPr>
        <w:t>¿Cuáles y cuánto tiempo serán conservados y preservados los datos? ¿Cuáles pueden compartirse y cuáles van a ser destruidos y por qué?</w:t>
      </w:r>
    </w:p>
    <w:p w14:paraId="1F75C5E0" w14:textId="7F3690E6" w:rsidR="00903C05" w:rsidRPr="0039177B" w:rsidRDefault="00903C05" w:rsidP="00FE3CF0">
      <w:pPr>
        <w:ind w:left="993"/>
        <w:jc w:val="both"/>
        <w:rPr>
          <w:rFonts w:ascii="Open Sans" w:hAnsi="Open Sans" w:cs="Open Sans"/>
        </w:rPr>
      </w:pPr>
      <w:r w:rsidRPr="0039177B">
        <w:rPr>
          <w:rFonts w:ascii="Open Sans" w:hAnsi="Open Sans" w:cs="Open Sans"/>
        </w:rPr>
        <w:t>ACLARACIÓN En el caso de la UNA en el Repositorio Institucional (</w:t>
      </w:r>
      <w:hyperlink r:id="rId7" w:history="1">
        <w:r w:rsidRPr="00FE3CF0">
          <w:rPr>
            <w:rStyle w:val="Hipervnculo"/>
            <w:rFonts w:ascii="Open Sans" w:hAnsi="Open Sans" w:cs="Open Sans"/>
          </w:rPr>
          <w:t>https://repositorio.una.ac.cr/</w:t>
        </w:r>
      </w:hyperlink>
      <w:r w:rsidRPr="0039177B">
        <w:rPr>
          <w:rFonts w:ascii="Open Sans" w:hAnsi="Open Sans" w:cs="Open Sans"/>
        </w:rPr>
        <w:t xml:space="preserve">), inclusive para el caso de la mayoría de las iniciativas de cooperación internacional. </w:t>
      </w:r>
    </w:p>
    <w:p w14:paraId="799E0222" w14:textId="77777777" w:rsidR="00903C05" w:rsidRPr="0039177B" w:rsidRDefault="00903C05" w:rsidP="00FE3CF0">
      <w:pPr>
        <w:pStyle w:val="Prrafodelista"/>
        <w:numPr>
          <w:ilvl w:val="0"/>
          <w:numId w:val="3"/>
        </w:numPr>
        <w:tabs>
          <w:tab w:val="left" w:pos="6912"/>
        </w:tabs>
        <w:ind w:left="284" w:hanging="284"/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Compartición de los datos de investigación</w:t>
      </w:r>
      <w:r w:rsidRPr="0039177B">
        <w:rPr>
          <w:rFonts w:ascii="Open Sans" w:hAnsi="Open Sans" w:cs="Open Sans"/>
        </w:rPr>
        <w:tab/>
      </w:r>
    </w:p>
    <w:p w14:paraId="3DC4C0A5" w14:textId="7EF5754E" w:rsidR="00903C05" w:rsidRPr="0039177B" w:rsidRDefault="00903C05" w:rsidP="001E4503">
      <w:p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39177B">
        <w:rPr>
          <w:rFonts w:ascii="Open Sans" w:hAnsi="Open Sans" w:cs="Open Sans"/>
        </w:rPr>
        <w:t>¿</w:t>
      </w:r>
      <w:r w:rsidR="00351D90" w:rsidRPr="0039177B">
        <w:rPr>
          <w:rFonts w:ascii="Open Sans" w:hAnsi="Open Sans" w:cs="Open Sans"/>
        </w:rPr>
        <w:t>En qué condiciones</w:t>
      </w:r>
      <w:r w:rsidRPr="0039177B">
        <w:rPr>
          <w:rFonts w:ascii="Open Sans" w:hAnsi="Open Sans" w:cs="Open Sans"/>
        </w:rPr>
        <w:t xml:space="preserve"> temporales y de licenciamiento los datos podrán ser compartidos? Refiérase a qué tipo de licencia o embargo van a tener los datos.</w:t>
      </w:r>
    </w:p>
    <w:p w14:paraId="0F05D880" w14:textId="77777777" w:rsidR="00903C05" w:rsidRPr="0039177B" w:rsidRDefault="00903C05" w:rsidP="00FE3CF0">
      <w:pPr>
        <w:pStyle w:val="Prrafodelista"/>
        <w:numPr>
          <w:ilvl w:val="0"/>
          <w:numId w:val="3"/>
        </w:numPr>
        <w:tabs>
          <w:tab w:val="left" w:pos="6912"/>
        </w:tabs>
        <w:ind w:left="284" w:hanging="284"/>
        <w:jc w:val="both"/>
        <w:rPr>
          <w:rFonts w:ascii="Open Sans" w:hAnsi="Open Sans" w:cs="Open Sans"/>
        </w:rPr>
      </w:pPr>
      <w:r w:rsidRPr="0039177B">
        <w:rPr>
          <w:rStyle w:val="fontstyle01"/>
          <w:rFonts w:ascii="Open Sans" w:hAnsi="Open Sans" w:cs="Open Sans"/>
          <w:color w:val="C45911" w:themeColor="accent2" w:themeShade="BF"/>
          <w:sz w:val="24"/>
          <w:szCs w:val="24"/>
        </w:rPr>
        <w:t>Restricciones al compartir los datos</w:t>
      </w:r>
      <w:r w:rsidRPr="0039177B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ab/>
      </w:r>
      <w:r w:rsidRPr="0039177B">
        <w:rPr>
          <w:rFonts w:ascii="Open Sans" w:hAnsi="Open Sans" w:cs="Open Sans"/>
        </w:rPr>
        <w:tab/>
      </w:r>
    </w:p>
    <w:p w14:paraId="6E4F67E9" w14:textId="77777777" w:rsidR="00903C05" w:rsidRPr="0039177B" w:rsidRDefault="00903C05" w:rsidP="00FE3CF0">
      <w:pPr>
        <w:jc w:val="both"/>
        <w:rPr>
          <w:rFonts w:ascii="Open Sans" w:hAnsi="Open Sans" w:cs="Open Sans"/>
        </w:rPr>
      </w:pPr>
      <w:r w:rsidRPr="0039177B">
        <w:rPr>
          <w:rFonts w:ascii="Open Sans" w:hAnsi="Open Sans" w:cs="Open Sans"/>
        </w:rPr>
        <w:t>¿Por cuánto tiempo necesitará un uso exclusivo de los datos y por qué?</w:t>
      </w:r>
      <w:r w:rsidRPr="0039177B">
        <w:rPr>
          <w:rFonts w:ascii="Open Sans" w:hAnsi="Open Sans" w:cs="Open Sans"/>
        </w:rPr>
        <w:tab/>
      </w:r>
    </w:p>
    <w:p w14:paraId="2A3EB3D4" w14:textId="77777777" w:rsidR="00903C05" w:rsidRPr="0039177B" w:rsidRDefault="00903C05" w:rsidP="00FE3CF0">
      <w:p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39177B">
        <w:rPr>
          <w:rFonts w:ascii="Open Sans" w:hAnsi="Open Sans" w:cs="Open Sans"/>
        </w:rPr>
        <w:t>¿Se necesitarán acuerdos de algún tipo para compartir los datos con coautores o instancias externas a la UNA?</w:t>
      </w:r>
      <w:r w:rsidRPr="0039177B">
        <w:rPr>
          <w:rFonts w:ascii="Open Sans" w:hAnsi="Open Sans" w:cs="Open Sans"/>
        </w:rPr>
        <w:tab/>
      </w:r>
    </w:p>
    <w:p w14:paraId="46D10C22" w14:textId="77777777" w:rsidR="00922A6D" w:rsidRPr="0039177B" w:rsidRDefault="00922A6D">
      <w:pPr>
        <w:rPr>
          <w:rFonts w:ascii="Open Sans" w:hAnsi="Open Sans" w:cs="Open Sans"/>
        </w:rPr>
      </w:pPr>
    </w:p>
    <w:sectPr w:rsidR="00922A6D" w:rsidRPr="0039177B" w:rsidSect="0039177B">
      <w:headerReference w:type="default" r:id="rId8"/>
      <w:pgSz w:w="12240" w:h="15840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5F30" w14:textId="77777777" w:rsidR="001D5219" w:rsidRDefault="001D5219" w:rsidP="0039177B">
      <w:pPr>
        <w:spacing w:after="0" w:line="240" w:lineRule="auto"/>
      </w:pPr>
      <w:r>
        <w:separator/>
      </w:r>
    </w:p>
  </w:endnote>
  <w:endnote w:type="continuationSeparator" w:id="0">
    <w:p w14:paraId="4ED24787" w14:textId="77777777" w:rsidR="001D5219" w:rsidRDefault="001D5219" w:rsidP="0039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Sans-Bold">
    <w:altName w:val="Cambria"/>
    <w:panose1 w:val="00000000000000000000"/>
    <w:charset w:val="00"/>
    <w:family w:val="roman"/>
    <w:notTrueType/>
    <w:pitch w:val="default"/>
  </w:font>
  <w:font w:name="Nimbus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3E15" w14:textId="77777777" w:rsidR="001D5219" w:rsidRDefault="001D5219" w:rsidP="0039177B">
      <w:pPr>
        <w:spacing w:after="0" w:line="240" w:lineRule="auto"/>
      </w:pPr>
      <w:r>
        <w:separator/>
      </w:r>
    </w:p>
  </w:footnote>
  <w:footnote w:type="continuationSeparator" w:id="0">
    <w:p w14:paraId="7BAB034E" w14:textId="77777777" w:rsidR="001D5219" w:rsidRDefault="001D5219" w:rsidP="0039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14D" w14:textId="70F823CF" w:rsidR="0039177B" w:rsidRDefault="0039177B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BF749F" wp14:editId="21F65DAA">
          <wp:simplePos x="0" y="0"/>
          <wp:positionH relativeFrom="column">
            <wp:posOffset>-1090930</wp:posOffset>
          </wp:positionH>
          <wp:positionV relativeFrom="paragraph">
            <wp:posOffset>-467614</wp:posOffset>
          </wp:positionV>
          <wp:extent cx="7797645" cy="10088059"/>
          <wp:effectExtent l="0" t="0" r="0" b="8890"/>
          <wp:wrapNone/>
          <wp:docPr id="34" name="Imagen 34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45" cy="10088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034BE" w14:textId="77777777" w:rsidR="0039177B" w:rsidRDefault="0039177B">
    <w:pPr>
      <w:pStyle w:val="Encabezado"/>
      <w:rPr>
        <w:noProof/>
      </w:rPr>
    </w:pPr>
  </w:p>
  <w:p w14:paraId="7BAEC462" w14:textId="576FA41F" w:rsidR="0039177B" w:rsidRDefault="003917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58C"/>
    <w:multiLevelType w:val="hybridMultilevel"/>
    <w:tmpl w:val="D1240478"/>
    <w:lvl w:ilvl="0" w:tplc="B8307FD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0167"/>
    <w:multiLevelType w:val="hybridMultilevel"/>
    <w:tmpl w:val="F37C9DF6"/>
    <w:lvl w:ilvl="0" w:tplc="1B76C5BA">
      <w:start w:val="1"/>
      <w:numFmt w:val="decimal"/>
      <w:lvlText w:val="%1."/>
      <w:lvlJc w:val="left"/>
      <w:pPr>
        <w:ind w:left="928" w:hanging="360"/>
      </w:pPr>
      <w:rPr>
        <w:rFonts w:cs="Open Sans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9152D"/>
    <w:multiLevelType w:val="hybridMultilevel"/>
    <w:tmpl w:val="C0364D0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49162">
    <w:abstractNumId w:val="2"/>
  </w:num>
  <w:num w:numId="2" w16cid:durableId="785536866">
    <w:abstractNumId w:val="1"/>
  </w:num>
  <w:num w:numId="3" w16cid:durableId="161455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05"/>
    <w:rsid w:val="00014333"/>
    <w:rsid w:val="000851EC"/>
    <w:rsid w:val="001C1947"/>
    <w:rsid w:val="001D5219"/>
    <w:rsid w:val="001E4503"/>
    <w:rsid w:val="00351D90"/>
    <w:rsid w:val="0039177B"/>
    <w:rsid w:val="003B0309"/>
    <w:rsid w:val="003F3EE9"/>
    <w:rsid w:val="004715C6"/>
    <w:rsid w:val="00490AF7"/>
    <w:rsid w:val="005035A6"/>
    <w:rsid w:val="0052341E"/>
    <w:rsid w:val="0056479C"/>
    <w:rsid w:val="006A429C"/>
    <w:rsid w:val="007070B5"/>
    <w:rsid w:val="0087667E"/>
    <w:rsid w:val="00903C05"/>
    <w:rsid w:val="00922A6D"/>
    <w:rsid w:val="009555D1"/>
    <w:rsid w:val="00970552"/>
    <w:rsid w:val="00AE0FC7"/>
    <w:rsid w:val="00CB2975"/>
    <w:rsid w:val="00CD4BC9"/>
    <w:rsid w:val="00CF743F"/>
    <w:rsid w:val="00D2482F"/>
    <w:rsid w:val="00D80994"/>
    <w:rsid w:val="00DE40DB"/>
    <w:rsid w:val="00E1060F"/>
    <w:rsid w:val="00E2109E"/>
    <w:rsid w:val="00E70019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DA4C6"/>
  <w15:chartTrackingRefBased/>
  <w15:docId w15:val="{17A84CA1-92DD-48B6-8EF2-9A7909E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903C05"/>
    <w:rPr>
      <w:rFonts w:ascii="NimbusSans-Bold" w:hAnsi="NimbusSans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Fuentedeprrafopredeter"/>
    <w:rsid w:val="00903C05"/>
    <w:rPr>
      <w:rFonts w:ascii="NimbusSans-Regular" w:hAnsi="NimbusSans-Regular" w:hint="default"/>
      <w:b w:val="0"/>
      <w:bCs w:val="0"/>
      <w:i w:val="0"/>
      <w:iCs w:val="0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903C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1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77B"/>
  </w:style>
  <w:style w:type="paragraph" w:styleId="Piedepgina">
    <w:name w:val="footer"/>
    <w:basedOn w:val="Normal"/>
    <w:link w:val="PiedepginaCar"/>
    <w:uiPriority w:val="99"/>
    <w:unhideWhenUsed/>
    <w:rsid w:val="00391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77B"/>
  </w:style>
  <w:style w:type="character" w:styleId="Hipervnculo">
    <w:name w:val="Hyperlink"/>
    <w:basedOn w:val="Fuentedeprrafopredeter"/>
    <w:uiPriority w:val="99"/>
    <w:unhideWhenUsed/>
    <w:rsid w:val="00FE3C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sitorio.una.ac.c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PINO  CHACON</dc:creator>
  <cp:keywords/>
  <dc:description/>
  <cp:lastModifiedBy>Maria Amalia Penabad Camacho</cp:lastModifiedBy>
  <cp:revision>30</cp:revision>
  <dcterms:created xsi:type="dcterms:W3CDTF">2022-10-31T17:27:00Z</dcterms:created>
  <dcterms:modified xsi:type="dcterms:W3CDTF">2023-02-21T16:33:00Z</dcterms:modified>
</cp:coreProperties>
</file>